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000000" w:rsidTr="00DB1C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Полiщук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Свiтлана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Григорiвна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керівника)</w:t>
            </w:r>
          </w:p>
        </w:tc>
      </w:tr>
    </w:tbl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ФIРМА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ТОРГВУГIЛЛЯ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51400 м. Павлоград, , вул.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Терьошкiна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4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24429015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(05632) 6-11-77, (05632) 6-16-78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tug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torgug</w:t>
      </w:r>
      <w:r>
        <w:rPr>
          <w:rFonts w:ascii="Times New Roman CYR" w:hAnsi="Times New Roman CYR" w:cs="Times New Roman CYR"/>
          <w:sz w:val="24"/>
          <w:szCs w:val="24"/>
        </w:rPr>
        <w:t>ol.prat.in.ua</w:t>
      </w:r>
      <w:proofErr w:type="spellEnd"/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</w:t>
      </w:r>
      <w:r>
        <w:rPr>
          <w:rFonts w:ascii="Times New Roman CYR" w:hAnsi="Times New Roman CYR" w:cs="Times New Roman CYR"/>
          <w:sz w:val="24"/>
          <w:szCs w:val="24"/>
        </w:rPr>
        <w:t>ованої інформації від імені учасника фондового ринку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на власному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учасника фондового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22.04.2019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(адреса сторінки)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1400" w:header="708" w:footer="708" w:gutter="0"/>
          <w:cols w:space="720"/>
          <w:noEndnote/>
        </w:sectPr>
      </w:pP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Сулейманов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Камiльович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прийнято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Зміст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"Припинити з 22 квітня 2019 року повноваження членів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"Фірма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Торгвугілля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у повному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складі".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питання порядку денного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 Перебував членом Наглядової ради з 25.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04.2017 р. по дату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повноважень.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прийнято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Зміст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"Припинити з 22 квітня 2019 року повноваження членів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"Фірма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Торгвугілля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у повному складі".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питання порядку денного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 Перебував членом Наглядової ради з 25.04.2017 р. по дату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повноважень.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Савченко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Вiталiй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прийнято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Зміст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"Припинити з 22 квітня 2019 року повноваження членів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"Фірма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Торгвугілля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у повному складі".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питання порядку денного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 Перебував членом Наглядової ради з 25.04.2017 р. по дату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припинення повноважень.</w:t>
            </w:r>
          </w:p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Сулейманов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Камiльович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Загальних зборів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Сулейманова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Юрія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Камільовича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Обрано на строк три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питання порядку 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нного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є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працював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заступника директора ТОВ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СКАЙ-ЛТД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заступника директора ПП "ГРАНД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ТСМ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заступника директора ТОВ "ФАРБА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ТРЙД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ПРОФЕШНЛ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(39526711, м. Київ,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вул. Казимира Малевича, 86В)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теперiшнiй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час.  Посадова особа яку обрано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Товариства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Юрiйович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Загальних зборів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Олега Юрійовича.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Обрано на строк три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ання порядку денного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є представником акціонера - Приватне підприємство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Фiрма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Форсайт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(ідентифікаційний код 30010091).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працював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генерального директора ТОВ "АСА i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", 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ректора ПП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Фiрма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Форсайт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начальника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вiддiлу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доставки ТОВ "ФАРБА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ТРЙД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ПРОФЕШНЛ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(39526711, м. Київ, вул. Казимира Малевича, 86В)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теперiшнiй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час.  Посадова особа яку обрано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Товариства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22.04.2019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Мамотенко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Галина Вікторівна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4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Загальних зборів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Насонова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Олега Юрійовича. Дата прийняття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- 22.04.2019 р. Обрано на строк три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персональному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посадових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осiб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пiдставi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розгляду питання порядку денног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Загальними зборами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Посадова особа є представником акціонера - ТОВ "ММК" (ідентифікаційний код 25530682).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працювала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головного бухгалтера ПП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Дистріб'юшн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", бухгалтер ТОВ "ФАРБА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ТРЙД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ПРОФЕШНЛ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 (39526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711, м. Київ, вул. Казимира Малевича, 86В)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теперiшнiй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час. Посадова особа яку обрано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членiв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Товариства не має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злочини.  </w:t>
            </w:r>
          </w:p>
        </w:tc>
      </w:tr>
    </w:tbl>
    <w:p w:rsidR="00000000" w:rsidRDefault="004E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00000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9CC"/>
    <w:rsid w:val="00034EF2"/>
    <w:rsid w:val="004E21B3"/>
    <w:rsid w:val="00DB1C4C"/>
    <w:rsid w:val="00E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829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2019-04-22T10:40:00Z</dcterms:created>
  <dcterms:modified xsi:type="dcterms:W3CDTF">2019-04-22T11:50:00Z</dcterms:modified>
</cp:coreProperties>
</file>